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13A76" w14:textId="20903672" w:rsidR="009A2E4E" w:rsidRPr="00882E90" w:rsidRDefault="0079306B">
      <w:pPr>
        <w:pStyle w:val="Heading1"/>
        <w:rPr>
          <w:rFonts w:cstheme="majorHAnsi"/>
        </w:rPr>
      </w:pPr>
      <w:r w:rsidRPr="00882E90">
        <w:rPr>
          <w:rFonts w:cstheme="majorHAnsi"/>
        </w:rPr>
        <w:t xml:space="preserve">SNAP Changes </w:t>
      </w:r>
      <w:r w:rsidR="009E7D84">
        <w:rPr>
          <w:rFonts w:cstheme="majorHAnsi"/>
        </w:rPr>
        <w:t xml:space="preserve">to Excess Shelter Costs and Standard Utility </w:t>
      </w:r>
      <w:commentRangeStart w:id="0"/>
      <w:r w:rsidR="009E7D84">
        <w:rPr>
          <w:rFonts w:cstheme="majorHAnsi"/>
        </w:rPr>
        <w:t>Allowance</w:t>
      </w:r>
      <w:r w:rsidR="001E1E88">
        <w:rPr>
          <w:rFonts w:cstheme="majorHAnsi"/>
        </w:rPr>
        <w:t>s</w:t>
      </w:r>
      <w:commentRangeEnd w:id="0"/>
      <w:r w:rsidR="0049404D">
        <w:rPr>
          <w:rStyle w:val="CommentReference"/>
          <w:rFonts w:asciiTheme="minorHAnsi" w:eastAsiaTheme="minorEastAsia" w:hAnsiTheme="minorHAnsi" w:cstheme="minorBidi"/>
          <w:b w:val="0"/>
          <w:bCs w:val="0"/>
          <w:color w:val="auto"/>
        </w:rPr>
        <w:commentReference w:id="0"/>
      </w:r>
    </w:p>
    <w:p w14:paraId="73222D5D" w14:textId="1044E093" w:rsidR="000E2E7E" w:rsidRDefault="001522C5" w:rsidP="000E2E7E">
      <w:pPr>
        <w:rPr>
          <w:rFonts w:asciiTheme="majorHAnsi" w:hAnsiTheme="majorHAnsi" w:cstheme="majorHAnsi"/>
        </w:rPr>
      </w:pPr>
      <w:r>
        <w:rPr>
          <w:rFonts w:asciiTheme="majorHAnsi" w:hAnsiTheme="majorHAnsi" w:cstheme="majorHAnsi"/>
        </w:rPr>
        <w:t>I</w:t>
      </w:r>
      <w:r w:rsidR="00DF495D" w:rsidRPr="00882E90">
        <w:rPr>
          <w:rFonts w:asciiTheme="majorHAnsi" w:hAnsiTheme="majorHAnsi" w:cstheme="majorHAnsi"/>
        </w:rPr>
        <w:t>n July 2025</w:t>
      </w:r>
      <w:r w:rsidR="00527000">
        <w:rPr>
          <w:rFonts w:asciiTheme="majorHAnsi" w:hAnsiTheme="majorHAnsi" w:cstheme="majorHAnsi"/>
        </w:rPr>
        <w:t>,</w:t>
      </w:r>
      <w:r>
        <w:rPr>
          <w:rFonts w:asciiTheme="majorHAnsi" w:hAnsiTheme="majorHAnsi" w:cstheme="majorHAnsi"/>
        </w:rPr>
        <w:t xml:space="preserve"> the President signed H</w:t>
      </w:r>
      <w:r w:rsidR="00991A30">
        <w:rPr>
          <w:rFonts w:asciiTheme="majorHAnsi" w:hAnsiTheme="majorHAnsi" w:cstheme="majorHAnsi"/>
        </w:rPr>
        <w:t>.</w:t>
      </w:r>
      <w:r>
        <w:rPr>
          <w:rFonts w:asciiTheme="majorHAnsi" w:hAnsiTheme="majorHAnsi" w:cstheme="majorHAnsi"/>
        </w:rPr>
        <w:t>R</w:t>
      </w:r>
      <w:r w:rsidR="00991A30">
        <w:rPr>
          <w:rFonts w:asciiTheme="majorHAnsi" w:hAnsiTheme="majorHAnsi" w:cstheme="majorHAnsi"/>
        </w:rPr>
        <w:t>.</w:t>
      </w:r>
      <w:r>
        <w:rPr>
          <w:rFonts w:asciiTheme="majorHAnsi" w:hAnsiTheme="majorHAnsi" w:cstheme="majorHAnsi"/>
        </w:rPr>
        <w:t>1 into law, which</w:t>
      </w:r>
      <w:r w:rsidR="00DF495D" w:rsidRPr="00882E90">
        <w:rPr>
          <w:rFonts w:asciiTheme="majorHAnsi" w:hAnsiTheme="majorHAnsi" w:cstheme="majorHAnsi"/>
        </w:rPr>
        <w:t xml:space="preserve"> made changes to how the Standard Utility Allowance (SUA) is applied to determine SNAP benefits. This guide summarizes these changes to assist eligibility workers to apply the </w:t>
      </w:r>
      <w:r w:rsidR="004179E4">
        <w:rPr>
          <w:rFonts w:asciiTheme="majorHAnsi" w:hAnsiTheme="majorHAnsi" w:cstheme="majorHAnsi"/>
        </w:rPr>
        <w:t>SUA</w:t>
      </w:r>
      <w:r w:rsidR="00DF495D" w:rsidRPr="00882E90">
        <w:rPr>
          <w:rFonts w:asciiTheme="majorHAnsi" w:hAnsiTheme="majorHAnsi" w:cstheme="majorHAnsi"/>
        </w:rPr>
        <w:t xml:space="preserve"> to participants. </w:t>
      </w:r>
    </w:p>
    <w:p w14:paraId="58AE743C" w14:textId="512B3D50" w:rsidR="005966F7" w:rsidRPr="00530832" w:rsidRDefault="005966F7" w:rsidP="000E2E7E">
      <w:pPr>
        <w:rPr>
          <w:rFonts w:asciiTheme="majorHAnsi" w:hAnsiTheme="majorHAnsi" w:cstheme="majorHAnsi"/>
          <w:b/>
          <w:bCs/>
        </w:rPr>
      </w:pPr>
      <w:r w:rsidRPr="00530832">
        <w:rPr>
          <w:rFonts w:asciiTheme="majorHAnsi" w:hAnsiTheme="majorHAnsi" w:cstheme="majorHAnsi"/>
          <w:b/>
          <w:bCs/>
        </w:rPr>
        <w:t xml:space="preserve">These changes are </w:t>
      </w:r>
      <w:r w:rsidR="00307F4E" w:rsidRPr="00530832">
        <w:rPr>
          <w:rFonts w:asciiTheme="majorHAnsi" w:hAnsiTheme="majorHAnsi" w:cstheme="majorHAnsi"/>
          <w:b/>
          <w:bCs/>
        </w:rPr>
        <w:t>effective</w:t>
      </w:r>
      <w:r w:rsidRPr="00530832">
        <w:rPr>
          <w:rFonts w:asciiTheme="majorHAnsi" w:hAnsiTheme="majorHAnsi" w:cstheme="majorHAnsi"/>
          <w:b/>
          <w:bCs/>
        </w:rPr>
        <w:t xml:space="preserve"> immediately</w:t>
      </w:r>
      <w:r w:rsidR="005D0534">
        <w:rPr>
          <w:rFonts w:asciiTheme="majorHAnsi" w:hAnsiTheme="majorHAnsi" w:cstheme="majorHAnsi"/>
          <w:b/>
          <w:bCs/>
        </w:rPr>
        <w:t xml:space="preserve"> (as of July 4, 202</w:t>
      </w:r>
      <w:r w:rsidR="008762B0">
        <w:rPr>
          <w:rFonts w:asciiTheme="majorHAnsi" w:hAnsiTheme="majorHAnsi" w:cstheme="majorHAnsi"/>
          <w:b/>
          <w:bCs/>
        </w:rPr>
        <w:t>5</w:t>
      </w:r>
      <w:r w:rsidR="005D0534">
        <w:rPr>
          <w:rFonts w:asciiTheme="majorHAnsi" w:hAnsiTheme="majorHAnsi" w:cstheme="majorHAnsi"/>
          <w:b/>
          <w:bCs/>
        </w:rPr>
        <w:t>)</w:t>
      </w:r>
      <w:r w:rsidRPr="00530832">
        <w:rPr>
          <w:rFonts w:asciiTheme="majorHAnsi" w:hAnsiTheme="majorHAnsi" w:cstheme="majorHAnsi"/>
          <w:b/>
          <w:bCs/>
        </w:rPr>
        <w:t xml:space="preserve"> and should be applied to all new applications and </w:t>
      </w:r>
      <w:r w:rsidR="00253F78">
        <w:rPr>
          <w:rFonts w:asciiTheme="majorHAnsi" w:hAnsiTheme="majorHAnsi" w:cstheme="majorHAnsi"/>
          <w:b/>
          <w:bCs/>
        </w:rPr>
        <w:t xml:space="preserve">at </w:t>
      </w:r>
      <w:r w:rsidRPr="00530832">
        <w:rPr>
          <w:rFonts w:asciiTheme="majorHAnsi" w:hAnsiTheme="majorHAnsi" w:cstheme="majorHAnsi"/>
          <w:b/>
          <w:bCs/>
        </w:rPr>
        <w:t>recertification</w:t>
      </w:r>
      <w:r w:rsidR="00253F78">
        <w:rPr>
          <w:rFonts w:asciiTheme="majorHAnsi" w:hAnsiTheme="majorHAnsi" w:cstheme="majorHAnsi"/>
          <w:b/>
          <w:bCs/>
        </w:rPr>
        <w:t xml:space="preserve"> for current participants</w:t>
      </w:r>
      <w:r w:rsidR="00131466">
        <w:rPr>
          <w:rFonts w:asciiTheme="majorHAnsi" w:hAnsiTheme="majorHAnsi" w:cstheme="majorHAnsi"/>
          <w:b/>
          <w:bCs/>
        </w:rPr>
        <w:t xml:space="preserve"> at the latest</w:t>
      </w:r>
      <w:r w:rsidRPr="00530832">
        <w:rPr>
          <w:rFonts w:asciiTheme="majorHAnsi" w:hAnsiTheme="majorHAnsi" w:cstheme="majorHAnsi"/>
          <w:b/>
          <w:bCs/>
        </w:rPr>
        <w:t xml:space="preserve">. </w:t>
      </w:r>
    </w:p>
    <w:p w14:paraId="25B7F85A" w14:textId="3B4A3889" w:rsidR="000E2E7E" w:rsidRPr="000E2E7E" w:rsidRDefault="000E2E7E" w:rsidP="00F57785">
      <w:pPr>
        <w:pStyle w:val="Heading2"/>
      </w:pPr>
      <w:r>
        <w:t xml:space="preserve">1. Internet </w:t>
      </w:r>
      <w:r w:rsidR="009F2BBD">
        <w:t>expenses are</w:t>
      </w:r>
      <w:r w:rsidR="00E06E82">
        <w:t xml:space="preserve"> no longer a countable cost</w:t>
      </w:r>
    </w:p>
    <w:p w14:paraId="6FD32DEF" w14:textId="268C02FE" w:rsidR="00FE1AAB" w:rsidRPr="0010686F" w:rsidRDefault="008E3061" w:rsidP="0010686F">
      <w:pPr>
        <w:rPr>
          <w:rFonts w:asciiTheme="majorHAnsi" w:hAnsiTheme="majorHAnsi" w:cstheme="majorHAnsi"/>
        </w:rPr>
      </w:pPr>
      <w:r w:rsidRPr="0010686F">
        <w:rPr>
          <w:rFonts w:asciiTheme="majorHAnsi" w:hAnsiTheme="majorHAnsi" w:cstheme="majorHAnsi"/>
        </w:rPr>
        <w:t xml:space="preserve">Internet </w:t>
      </w:r>
      <w:r w:rsidR="000E2E7E" w:rsidRPr="0010686F">
        <w:rPr>
          <w:rFonts w:asciiTheme="majorHAnsi" w:hAnsiTheme="majorHAnsi" w:cstheme="majorHAnsi"/>
        </w:rPr>
        <w:t>costs</w:t>
      </w:r>
      <w:r w:rsidR="003E52A9" w:rsidRPr="0010686F">
        <w:rPr>
          <w:rFonts w:asciiTheme="majorHAnsi" w:hAnsiTheme="majorHAnsi" w:cstheme="majorHAnsi"/>
        </w:rPr>
        <w:t xml:space="preserve"> are no longer counted as a utility</w:t>
      </w:r>
      <w:r w:rsidR="002D2D09" w:rsidRPr="0010686F">
        <w:rPr>
          <w:rFonts w:asciiTheme="majorHAnsi" w:hAnsiTheme="majorHAnsi" w:cstheme="majorHAnsi"/>
        </w:rPr>
        <w:t xml:space="preserve"> and thus </w:t>
      </w:r>
      <w:r w:rsidR="003E52A9" w:rsidRPr="0010686F">
        <w:rPr>
          <w:rFonts w:asciiTheme="majorHAnsi" w:hAnsiTheme="majorHAnsi" w:cstheme="majorHAnsi"/>
        </w:rPr>
        <w:t xml:space="preserve">should no longer be included </w:t>
      </w:r>
      <w:r w:rsidR="00F606A1" w:rsidRPr="0010686F">
        <w:rPr>
          <w:rFonts w:asciiTheme="majorHAnsi" w:hAnsiTheme="majorHAnsi" w:cstheme="majorHAnsi"/>
        </w:rPr>
        <w:t>when calculating the excess shelter expense deduction.</w:t>
      </w:r>
      <w:r w:rsidR="001E1E88" w:rsidRPr="0010686F">
        <w:rPr>
          <w:rFonts w:asciiTheme="majorHAnsi" w:hAnsiTheme="majorHAnsi" w:cstheme="majorHAnsi"/>
        </w:rPr>
        <w:t xml:space="preserve"> </w:t>
      </w:r>
    </w:p>
    <w:p w14:paraId="033C622C" w14:textId="0C919978" w:rsidR="004A404B" w:rsidRDefault="00F57785" w:rsidP="004A404B">
      <w:pPr>
        <w:pStyle w:val="Heading2"/>
        <w:rPr>
          <w:rFonts w:cstheme="majorHAnsi"/>
        </w:rPr>
      </w:pPr>
      <w:r>
        <w:rPr>
          <w:rFonts w:cstheme="majorHAnsi"/>
        </w:rPr>
        <w:t xml:space="preserve">2. </w:t>
      </w:r>
      <w:r w:rsidR="00995711">
        <w:rPr>
          <w:rFonts w:cstheme="majorHAnsi"/>
        </w:rPr>
        <w:t>Fewer people can use</w:t>
      </w:r>
      <w:r w:rsidR="000E17FF">
        <w:rPr>
          <w:rFonts w:cstheme="majorHAnsi"/>
        </w:rPr>
        <w:t xml:space="preserve"> LIHEAP to </w:t>
      </w:r>
      <w:r w:rsidR="005966F7">
        <w:rPr>
          <w:rFonts w:cstheme="majorHAnsi"/>
        </w:rPr>
        <w:t>qualify for the Heating and Cooling SUA (HCSUA)</w:t>
      </w:r>
    </w:p>
    <w:p w14:paraId="48098001" w14:textId="6F9D0186" w:rsidR="00167317" w:rsidRPr="0010686F" w:rsidRDefault="000E17FF" w:rsidP="0010686F">
      <w:pPr>
        <w:rPr>
          <w:rFonts w:asciiTheme="majorHAnsi" w:hAnsiTheme="majorHAnsi" w:cstheme="majorHAnsi"/>
        </w:rPr>
      </w:pPr>
      <w:r w:rsidRPr="0010686F">
        <w:rPr>
          <w:rFonts w:asciiTheme="majorHAnsi" w:hAnsiTheme="majorHAnsi" w:cstheme="majorHAnsi"/>
        </w:rPr>
        <w:t xml:space="preserve">Only households with elderly or disabled members can use the </w:t>
      </w:r>
      <w:proofErr w:type="gramStart"/>
      <w:r w:rsidRPr="0010686F">
        <w:rPr>
          <w:rFonts w:asciiTheme="majorHAnsi" w:hAnsiTheme="majorHAnsi" w:cstheme="majorHAnsi"/>
        </w:rPr>
        <w:t>Low Income</w:t>
      </w:r>
      <w:proofErr w:type="gramEnd"/>
      <w:r w:rsidRPr="0010686F">
        <w:rPr>
          <w:rFonts w:asciiTheme="majorHAnsi" w:hAnsiTheme="majorHAnsi" w:cstheme="majorHAnsi"/>
        </w:rPr>
        <w:t xml:space="preserve"> Home Energy Assistance Program (LIHEAP)</w:t>
      </w:r>
      <w:r w:rsidR="00592461" w:rsidRPr="0010686F">
        <w:rPr>
          <w:rFonts w:asciiTheme="majorHAnsi" w:hAnsiTheme="majorHAnsi" w:cstheme="majorHAnsi"/>
        </w:rPr>
        <w:t xml:space="preserve"> or another similar energy assistance </w:t>
      </w:r>
      <w:r w:rsidR="004D67BB" w:rsidRPr="0010686F">
        <w:rPr>
          <w:rFonts w:asciiTheme="majorHAnsi" w:hAnsiTheme="majorHAnsi" w:cstheme="majorHAnsi"/>
        </w:rPr>
        <w:t>payment</w:t>
      </w:r>
      <w:r w:rsidR="00F10AA3" w:rsidRPr="0010686F">
        <w:rPr>
          <w:rFonts w:asciiTheme="majorHAnsi" w:hAnsiTheme="majorHAnsi" w:cstheme="majorHAnsi"/>
        </w:rPr>
        <w:t xml:space="preserve"> (as long as the payment is more than $20</w:t>
      </w:r>
      <w:r w:rsidR="0049404D">
        <w:rPr>
          <w:rFonts w:asciiTheme="majorHAnsi" w:hAnsiTheme="majorHAnsi" w:cstheme="majorHAnsi"/>
        </w:rPr>
        <w:t xml:space="preserve"> in one year</w:t>
      </w:r>
      <w:r w:rsidR="00F10AA3" w:rsidRPr="0010686F">
        <w:rPr>
          <w:rFonts w:asciiTheme="majorHAnsi" w:hAnsiTheme="majorHAnsi" w:cstheme="majorHAnsi"/>
        </w:rPr>
        <w:t>)</w:t>
      </w:r>
      <w:r w:rsidRPr="0010686F">
        <w:rPr>
          <w:rFonts w:asciiTheme="majorHAnsi" w:hAnsiTheme="majorHAnsi" w:cstheme="majorHAnsi"/>
        </w:rPr>
        <w:t xml:space="preserve"> to qualify for</w:t>
      </w:r>
      <w:r w:rsidR="001C687A" w:rsidRPr="0010686F">
        <w:rPr>
          <w:rFonts w:asciiTheme="majorHAnsi" w:hAnsiTheme="majorHAnsi" w:cstheme="majorHAnsi"/>
        </w:rPr>
        <w:t xml:space="preserve"> the</w:t>
      </w:r>
      <w:r w:rsidRPr="0010686F">
        <w:rPr>
          <w:rFonts w:asciiTheme="majorHAnsi" w:hAnsiTheme="majorHAnsi" w:cstheme="majorHAnsi"/>
        </w:rPr>
        <w:t xml:space="preserve"> </w:t>
      </w:r>
      <w:r w:rsidR="005966F7" w:rsidRPr="0010686F">
        <w:rPr>
          <w:rFonts w:asciiTheme="majorHAnsi" w:hAnsiTheme="majorHAnsi" w:cstheme="majorHAnsi"/>
        </w:rPr>
        <w:t xml:space="preserve">HCSUA. </w:t>
      </w:r>
      <w:r w:rsidRPr="0010686F">
        <w:rPr>
          <w:rFonts w:asciiTheme="majorHAnsi" w:hAnsiTheme="majorHAnsi" w:cstheme="majorHAnsi"/>
        </w:rPr>
        <w:t>Households without elderly or disabled members must show proof of utility expenses</w:t>
      </w:r>
      <w:r w:rsidR="005966F7" w:rsidRPr="0010686F">
        <w:rPr>
          <w:rFonts w:asciiTheme="majorHAnsi" w:hAnsiTheme="majorHAnsi" w:cstheme="majorHAnsi"/>
        </w:rPr>
        <w:t xml:space="preserve"> to receive the HCSUA. </w:t>
      </w:r>
    </w:p>
    <w:p w14:paraId="284711BA" w14:textId="203F9621" w:rsidR="00342168" w:rsidRDefault="00167317" w:rsidP="005966F7">
      <w:pPr>
        <w:pStyle w:val="Heading2"/>
        <w:rPr>
          <w:rFonts w:eastAsiaTheme="minorEastAsia" w:cstheme="majorHAnsi"/>
          <w:color w:val="auto"/>
          <w:sz w:val="22"/>
          <w:szCs w:val="22"/>
        </w:rPr>
      </w:pPr>
      <w:r w:rsidRPr="00461713">
        <w:rPr>
          <w:rFonts w:eastAsiaTheme="minorEastAsia" w:cstheme="majorHAnsi"/>
          <w:color w:val="auto"/>
          <w:sz w:val="22"/>
          <w:szCs w:val="22"/>
        </w:rPr>
        <w:t>HCSUA Screening Flow Chart</w:t>
      </w:r>
    </w:p>
    <w:p w14:paraId="0F3EA3D9" w14:textId="1B56E8DB" w:rsidR="009C176B" w:rsidRDefault="009C176B" w:rsidP="009C176B">
      <w:r>
        <w:rPr>
          <w:noProof/>
        </w:rPr>
        <w:drawing>
          <wp:inline distT="0" distB="0" distL="0" distR="0" wp14:anchorId="5431204D" wp14:editId="4B55DDA3">
            <wp:extent cx="5658415" cy="2077236"/>
            <wp:effectExtent l="0" t="0" r="0" b="0"/>
            <wp:docPr id="272771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2863" cy="2086211"/>
                    </a:xfrm>
                    <a:prstGeom prst="rect">
                      <a:avLst/>
                    </a:prstGeom>
                    <a:noFill/>
                  </pic:spPr>
                </pic:pic>
              </a:graphicData>
            </a:graphic>
          </wp:inline>
        </w:drawing>
      </w:r>
    </w:p>
    <w:p w14:paraId="5137F72B" w14:textId="720E5E5E" w:rsidR="00A26E2B" w:rsidRPr="001F6E10" w:rsidRDefault="00DB2986" w:rsidP="001F6E10">
      <w:pPr>
        <w:rPr>
          <w:rFonts w:asciiTheme="majorHAnsi" w:hAnsiTheme="majorHAnsi" w:cstheme="majorHAnsi"/>
          <w:sz w:val="16"/>
          <w:szCs w:val="16"/>
        </w:rPr>
      </w:pPr>
      <w:r w:rsidRPr="001F6E10">
        <w:rPr>
          <w:rFonts w:asciiTheme="majorHAnsi" w:hAnsiTheme="majorHAnsi" w:cstheme="majorHAnsi"/>
          <w:sz w:val="16"/>
          <w:szCs w:val="16"/>
        </w:rPr>
        <w:t xml:space="preserve">* </w:t>
      </w:r>
      <w:r w:rsidR="00D840CB" w:rsidRPr="001F6E10">
        <w:rPr>
          <w:rFonts w:asciiTheme="majorHAnsi" w:hAnsiTheme="majorHAnsi" w:cstheme="majorHAnsi"/>
          <w:sz w:val="16"/>
          <w:szCs w:val="16"/>
        </w:rPr>
        <w:t xml:space="preserve">Another similar energy assistance payment </w:t>
      </w:r>
      <w:r w:rsidR="00A26E2B" w:rsidRPr="001F6E10">
        <w:rPr>
          <w:rFonts w:asciiTheme="majorHAnsi" w:hAnsiTheme="majorHAnsi" w:cstheme="majorHAnsi"/>
          <w:sz w:val="16"/>
          <w:szCs w:val="16"/>
        </w:rPr>
        <w:t xml:space="preserve">can count as well. </w:t>
      </w:r>
    </w:p>
    <w:p w14:paraId="054ABE02" w14:textId="42F41C6C" w:rsidR="008C0A42" w:rsidRPr="001F6E10" w:rsidRDefault="009921D9">
      <w:pPr>
        <w:rPr>
          <w:rFonts w:cstheme="majorHAnsi"/>
          <w:i/>
          <w:iCs/>
          <w:u w:val="single"/>
        </w:rPr>
      </w:pPr>
      <w:r w:rsidRPr="001F6E10">
        <w:rPr>
          <w:rFonts w:asciiTheme="majorHAnsi" w:hAnsiTheme="majorHAnsi" w:cstheme="majorHAnsi"/>
          <w:u w:val="single"/>
        </w:rPr>
        <w:t>Note</w:t>
      </w:r>
      <w:r w:rsidR="001D5918" w:rsidRPr="001F6E10">
        <w:rPr>
          <w:rFonts w:asciiTheme="majorHAnsi" w:hAnsiTheme="majorHAnsi" w:cstheme="majorHAnsi"/>
          <w:u w:val="single"/>
        </w:rPr>
        <w:t>s</w:t>
      </w:r>
      <w:r w:rsidRPr="001F6E10">
        <w:rPr>
          <w:rFonts w:asciiTheme="majorHAnsi" w:hAnsiTheme="majorHAnsi" w:cstheme="majorHAnsi"/>
          <w:u w:val="single"/>
        </w:rPr>
        <w:t>:</w:t>
      </w:r>
      <w:r w:rsidRPr="001F6E10">
        <w:rPr>
          <w:rFonts w:asciiTheme="majorHAnsi" w:hAnsiTheme="majorHAnsi" w:cstheme="majorHAnsi"/>
          <w:i/>
          <w:iCs/>
          <w:u w:val="single"/>
        </w:rPr>
        <w:t xml:space="preserve"> </w:t>
      </w:r>
    </w:p>
    <w:p w14:paraId="744F5E09" w14:textId="2B86667A" w:rsidR="008C0A42" w:rsidRPr="001511E9" w:rsidRDefault="000E0FEC" w:rsidP="000E0FEC">
      <w:pPr>
        <w:pStyle w:val="ListParagraph"/>
        <w:numPr>
          <w:ilvl w:val="0"/>
          <w:numId w:val="18"/>
        </w:numPr>
        <w:rPr>
          <w:rFonts w:asciiTheme="majorHAnsi" w:hAnsiTheme="majorHAnsi" w:cstheme="majorHAnsi"/>
          <w:i/>
          <w:iCs/>
        </w:rPr>
      </w:pPr>
      <w:r w:rsidRPr="001511E9">
        <w:rPr>
          <w:rFonts w:asciiTheme="majorHAnsi" w:hAnsiTheme="majorHAnsi" w:cstheme="majorHAnsi"/>
        </w:rPr>
        <w:t xml:space="preserve">If any part of a household’s electricity bill is used for air conditioning, </w:t>
      </w:r>
      <w:r>
        <w:rPr>
          <w:rFonts w:asciiTheme="majorHAnsi" w:hAnsiTheme="majorHAnsi" w:cstheme="majorHAnsi"/>
        </w:rPr>
        <w:t xml:space="preserve">that can count </w:t>
      </w:r>
      <w:r w:rsidR="00C03E0D">
        <w:rPr>
          <w:rFonts w:asciiTheme="majorHAnsi" w:hAnsiTheme="majorHAnsi" w:cstheme="majorHAnsi"/>
        </w:rPr>
        <w:t xml:space="preserve">as a separate heating or cooling utility to qualify for the HCSUA. </w:t>
      </w:r>
      <w:r w:rsidRPr="001511E9">
        <w:rPr>
          <w:rFonts w:asciiTheme="majorHAnsi" w:hAnsiTheme="majorHAnsi" w:cstheme="majorHAnsi"/>
          <w:i/>
          <w:iCs/>
        </w:rPr>
        <w:t xml:space="preserve">  </w:t>
      </w:r>
    </w:p>
    <w:p w14:paraId="684EDD0B" w14:textId="66224B0C" w:rsidR="008C0A42" w:rsidRPr="001F6E10" w:rsidRDefault="7E6CBDC7" w:rsidP="432B5B0D">
      <w:pPr>
        <w:pStyle w:val="ListParagraph"/>
        <w:numPr>
          <w:ilvl w:val="0"/>
          <w:numId w:val="18"/>
        </w:numPr>
        <w:rPr>
          <w:rFonts w:cstheme="majorBidi"/>
          <w:b/>
          <w:bCs/>
          <w:i/>
          <w:iCs/>
        </w:rPr>
      </w:pPr>
      <w:r w:rsidRPr="432B5B0D">
        <w:rPr>
          <w:rFonts w:asciiTheme="majorHAnsi" w:hAnsiTheme="majorHAnsi" w:cstheme="majorBidi"/>
        </w:rPr>
        <w:t xml:space="preserve">Households that do not qualify for the HCSUA may still be eligible </w:t>
      </w:r>
      <w:r w:rsidR="00C03E0D">
        <w:rPr>
          <w:rFonts w:asciiTheme="majorHAnsi" w:hAnsiTheme="majorHAnsi" w:cstheme="majorBidi"/>
        </w:rPr>
        <w:t xml:space="preserve">for </w:t>
      </w:r>
      <w:r w:rsidR="00C03E0D" w:rsidRPr="001511E9">
        <w:rPr>
          <w:rFonts w:asciiTheme="majorHAnsi" w:hAnsiTheme="majorHAnsi" w:cstheme="majorBidi"/>
          <w:i/>
          <w:iCs/>
          <w:highlight w:val="yellow"/>
        </w:rPr>
        <w:t xml:space="preserve">[states to customize </w:t>
      </w:r>
      <w:r w:rsidR="003E3A1D" w:rsidRPr="001511E9">
        <w:rPr>
          <w:rFonts w:asciiTheme="majorHAnsi" w:hAnsiTheme="majorHAnsi" w:cstheme="majorBidi"/>
          <w:i/>
          <w:iCs/>
          <w:highlight w:val="yellow"/>
        </w:rPr>
        <w:t>the list of other SUAs a household can qualify for]</w:t>
      </w:r>
      <w:r w:rsidR="00234CA3">
        <w:rPr>
          <w:rFonts w:asciiTheme="majorHAnsi" w:hAnsiTheme="majorHAnsi" w:cstheme="majorBidi"/>
          <w:i/>
          <w:iCs/>
        </w:rPr>
        <w:t>.</w:t>
      </w:r>
    </w:p>
    <w:p w14:paraId="531A0F01" w14:textId="72BA964E" w:rsidR="008C0A42" w:rsidRPr="001F6E10" w:rsidRDefault="008C0A42" w:rsidP="001F6E10">
      <w:pPr>
        <w:pStyle w:val="ListParagraph"/>
        <w:numPr>
          <w:ilvl w:val="0"/>
          <w:numId w:val="18"/>
        </w:numPr>
        <w:rPr>
          <w:rFonts w:cstheme="majorHAnsi"/>
          <w:b/>
          <w:bCs/>
          <w:i/>
          <w:iCs/>
        </w:rPr>
      </w:pPr>
      <w:r w:rsidRPr="00617EC4">
        <w:rPr>
          <w:rFonts w:asciiTheme="majorHAnsi" w:hAnsiTheme="majorHAnsi" w:cstheme="majorHAnsi"/>
        </w:rPr>
        <w:lastRenderedPageBreak/>
        <w:t xml:space="preserve">A household is not automatically ineligible to receive a HCSUA if the household does not have </w:t>
      </w:r>
      <w:r w:rsidRPr="001F6E10">
        <w:rPr>
          <w:rFonts w:asciiTheme="majorHAnsi" w:hAnsiTheme="majorHAnsi" w:cstheme="majorHAnsi"/>
        </w:rPr>
        <w:t>an elderly or disabled member; these households can still qualify for the HCSUA if they have heating or cooling expenses.</w:t>
      </w:r>
    </w:p>
    <w:p w14:paraId="383C4DF9" w14:textId="35F06EDA" w:rsidR="00E862E9" w:rsidRPr="001F6E10" w:rsidRDefault="008C0A42" w:rsidP="001F6E10">
      <w:pPr>
        <w:pStyle w:val="ListParagraph"/>
        <w:numPr>
          <w:ilvl w:val="0"/>
          <w:numId w:val="18"/>
        </w:numPr>
        <w:rPr>
          <w:rFonts w:cstheme="majorHAnsi"/>
          <w:b/>
          <w:bCs/>
          <w:i/>
          <w:iCs/>
        </w:rPr>
      </w:pPr>
      <w:r w:rsidRPr="00617EC4">
        <w:rPr>
          <w:rFonts w:asciiTheme="majorHAnsi" w:hAnsiTheme="majorHAnsi" w:cstheme="majorHAnsi"/>
        </w:rPr>
        <w:t xml:space="preserve">The flow chart above applies if a household splits up into multiple households; only the presence of an elderly or disabled member receiving more than $20 </w:t>
      </w:r>
      <w:r w:rsidR="002F58AC">
        <w:rPr>
          <w:rFonts w:asciiTheme="majorHAnsi" w:hAnsiTheme="majorHAnsi" w:cstheme="majorHAnsi"/>
        </w:rPr>
        <w:t xml:space="preserve">in one year </w:t>
      </w:r>
      <w:r w:rsidRPr="00617EC4">
        <w:rPr>
          <w:rFonts w:asciiTheme="majorHAnsi" w:hAnsiTheme="majorHAnsi" w:cstheme="majorHAnsi"/>
        </w:rPr>
        <w:t>from LIHEAP or another energy assistance payment automatically qualifies that household for a HCSUA.</w:t>
      </w:r>
    </w:p>
    <w:p w14:paraId="3E50855B" w14:textId="08C2E79E" w:rsidR="00400233" w:rsidRPr="00400233" w:rsidRDefault="00400233" w:rsidP="00B27576">
      <w:pPr>
        <w:rPr>
          <w:rFonts w:asciiTheme="majorHAnsi" w:eastAsiaTheme="majorEastAsia" w:hAnsiTheme="majorHAnsi" w:cstheme="majorHAnsi"/>
          <w:b/>
          <w:bCs/>
          <w:color w:val="4F81BD" w:themeColor="accent1"/>
          <w:sz w:val="24"/>
          <w:szCs w:val="24"/>
        </w:rPr>
      </w:pPr>
      <w:r w:rsidRPr="00400233">
        <w:rPr>
          <w:rFonts w:asciiTheme="majorHAnsi" w:eastAsiaTheme="majorEastAsia" w:hAnsiTheme="majorHAnsi" w:cstheme="majorHAnsi"/>
          <w:b/>
          <w:bCs/>
          <w:color w:val="4F81BD" w:themeColor="accent1"/>
          <w:sz w:val="24"/>
          <w:szCs w:val="24"/>
        </w:rPr>
        <w:t xml:space="preserve">Accepted forms of verification </w:t>
      </w:r>
    </w:p>
    <w:p w14:paraId="45D36A0F" w14:textId="5D1350C4" w:rsidR="00400233" w:rsidRDefault="00400233" w:rsidP="00B27576">
      <w:pPr>
        <w:rPr>
          <w:rFonts w:asciiTheme="majorHAnsi" w:hAnsiTheme="majorHAnsi" w:cstheme="majorHAnsi"/>
        </w:rPr>
      </w:pPr>
      <w:r>
        <w:rPr>
          <w:rFonts w:asciiTheme="majorHAnsi" w:hAnsiTheme="majorHAnsi" w:cstheme="majorHAnsi"/>
        </w:rPr>
        <w:t xml:space="preserve">You can use any of the following ways to verify separate heating or cooling utilities: </w:t>
      </w:r>
    </w:p>
    <w:p w14:paraId="08D30EFD" w14:textId="0C0452B9" w:rsidR="00E3275B" w:rsidRPr="00E3275B" w:rsidRDefault="00E3275B" w:rsidP="00400233">
      <w:pPr>
        <w:pStyle w:val="ListParagraph"/>
        <w:numPr>
          <w:ilvl w:val="0"/>
          <w:numId w:val="12"/>
        </w:numPr>
        <w:rPr>
          <w:rFonts w:asciiTheme="majorHAnsi" w:hAnsiTheme="majorHAnsi" w:cstheme="majorHAnsi"/>
          <w:i/>
          <w:iCs/>
          <w:highlight w:val="yellow"/>
        </w:rPr>
      </w:pPr>
      <w:r w:rsidRPr="00E3275B">
        <w:rPr>
          <w:rFonts w:asciiTheme="majorHAnsi" w:hAnsiTheme="majorHAnsi" w:cstheme="majorHAnsi"/>
          <w:i/>
          <w:iCs/>
          <w:highlight w:val="yellow"/>
        </w:rPr>
        <w:t>States to customize list</w:t>
      </w:r>
      <w:r w:rsidR="002F58AC">
        <w:rPr>
          <w:rFonts w:asciiTheme="majorHAnsi" w:hAnsiTheme="majorHAnsi" w:cstheme="majorHAnsi"/>
          <w:i/>
          <w:iCs/>
          <w:highlight w:val="yellow"/>
        </w:rPr>
        <w:t xml:space="preserve"> - e</w:t>
      </w:r>
      <w:r w:rsidR="006B2B9D">
        <w:rPr>
          <w:rFonts w:asciiTheme="majorHAnsi" w:hAnsiTheme="majorHAnsi" w:cstheme="majorHAnsi"/>
          <w:i/>
          <w:iCs/>
          <w:highlight w:val="yellow"/>
        </w:rPr>
        <w:t>.g.,</w:t>
      </w:r>
      <w:r w:rsidR="002F58AC">
        <w:rPr>
          <w:rFonts w:asciiTheme="majorHAnsi" w:hAnsiTheme="majorHAnsi" w:cstheme="majorHAnsi"/>
          <w:i/>
          <w:iCs/>
          <w:highlight w:val="yellow"/>
        </w:rPr>
        <w:t xml:space="preserve"> [insert here].</w:t>
      </w:r>
      <w:r w:rsidR="006B2B9D">
        <w:rPr>
          <w:rFonts w:asciiTheme="majorHAnsi" w:hAnsiTheme="majorHAnsi" w:cstheme="majorHAnsi"/>
          <w:i/>
          <w:iCs/>
          <w:highlight w:val="yellow"/>
        </w:rPr>
        <w:t xml:space="preserve"> </w:t>
      </w:r>
    </w:p>
    <w:p w14:paraId="16176909" w14:textId="187CDA65" w:rsidR="00400233" w:rsidRPr="00E3275B" w:rsidRDefault="00E3275B" w:rsidP="00400233">
      <w:pPr>
        <w:pStyle w:val="ListParagraph"/>
        <w:numPr>
          <w:ilvl w:val="0"/>
          <w:numId w:val="12"/>
        </w:numPr>
        <w:rPr>
          <w:rFonts w:asciiTheme="majorHAnsi" w:hAnsiTheme="majorHAnsi" w:cstheme="majorHAnsi"/>
          <w:i/>
          <w:iCs/>
          <w:highlight w:val="yellow"/>
        </w:rPr>
      </w:pPr>
      <w:r w:rsidRPr="00E3275B">
        <w:rPr>
          <w:rFonts w:asciiTheme="majorHAnsi" w:hAnsiTheme="majorHAnsi" w:cstheme="majorHAnsi"/>
          <w:i/>
          <w:iCs/>
          <w:highlight w:val="yellow"/>
        </w:rPr>
        <w:t xml:space="preserve">Copy of utility bills </w:t>
      </w:r>
    </w:p>
    <w:p w14:paraId="7A7F0AB1" w14:textId="685B7AA4" w:rsidR="00400233" w:rsidRPr="00E3275B" w:rsidRDefault="00E3275B" w:rsidP="00B27576">
      <w:pPr>
        <w:pStyle w:val="ListParagraph"/>
        <w:numPr>
          <w:ilvl w:val="0"/>
          <w:numId w:val="12"/>
        </w:numPr>
        <w:rPr>
          <w:rFonts w:asciiTheme="majorHAnsi" w:hAnsiTheme="majorHAnsi" w:cstheme="majorHAnsi"/>
          <w:i/>
          <w:iCs/>
          <w:highlight w:val="yellow"/>
        </w:rPr>
      </w:pPr>
      <w:r w:rsidRPr="00E3275B">
        <w:rPr>
          <w:rFonts w:asciiTheme="majorHAnsi" w:hAnsiTheme="majorHAnsi" w:cstheme="majorHAnsi"/>
          <w:i/>
          <w:iCs/>
          <w:highlight w:val="yellow"/>
        </w:rPr>
        <w:t xml:space="preserve">Screenshots of accounts </w:t>
      </w:r>
    </w:p>
    <w:p w14:paraId="0E72649E" w14:textId="66AC60A7" w:rsidR="009A2E4E" w:rsidRPr="00882E90" w:rsidRDefault="009A2E4E" w:rsidP="00B27576">
      <w:pPr>
        <w:rPr>
          <w:rFonts w:asciiTheme="majorHAnsi" w:hAnsiTheme="majorHAnsi" w:cstheme="majorHAnsi"/>
        </w:rPr>
      </w:pPr>
    </w:p>
    <w:sectPr w:rsidR="009A2E4E" w:rsidRPr="00882E90" w:rsidSect="00034616">
      <w:headerReference w:type="default" r:id="rId15"/>
      <w:footerReference w:type="default" r:id="rId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13T10:44:00Z" w:initials="DC">
    <w:p w14:paraId="0BD77970" w14:textId="77777777" w:rsidR="00E37234" w:rsidRDefault="0049404D" w:rsidP="00E37234">
      <w:pPr>
        <w:pStyle w:val="CommentText"/>
      </w:pPr>
      <w:r>
        <w:rPr>
          <w:rStyle w:val="CommentReference"/>
        </w:rPr>
        <w:annotationRef/>
      </w:r>
      <w:r w:rsidR="00E37234">
        <w:rPr>
          <w:b/>
          <w:bCs/>
        </w:rPr>
        <w:t xml:space="preserve">Updated as of October 16, 2025: </w:t>
      </w:r>
      <w:r w:rsidR="00E37234">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645A865E" w14:textId="77777777" w:rsidR="00E37234" w:rsidRDefault="00E37234" w:rsidP="00E37234">
      <w:pPr>
        <w:pStyle w:val="CommentText"/>
      </w:pPr>
    </w:p>
    <w:p w14:paraId="58AFFD96" w14:textId="77777777" w:rsidR="00E37234" w:rsidRDefault="00E37234" w:rsidP="00E37234">
      <w:pPr>
        <w:pStyle w:val="CommentText"/>
      </w:pPr>
      <w:r>
        <w:t>This document provides an overview of SUA changes to support eligibility workers as they process cases.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AFFD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558F19" w16cex:dateUtc="2025-10-13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AFFD96" w16cid:durableId="02558F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E38D" w14:textId="77777777" w:rsidR="001811A6" w:rsidRDefault="001811A6" w:rsidP="00DF495D">
      <w:pPr>
        <w:spacing w:after="0" w:line="240" w:lineRule="auto"/>
      </w:pPr>
      <w:r>
        <w:separator/>
      </w:r>
    </w:p>
  </w:endnote>
  <w:endnote w:type="continuationSeparator" w:id="0">
    <w:p w14:paraId="4856982C" w14:textId="77777777" w:rsidR="001811A6" w:rsidRDefault="001811A6" w:rsidP="00DF4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ource Sans 3 Black">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696A" w14:textId="2BE6EBF6" w:rsidR="005966F7" w:rsidRPr="004A65D8" w:rsidRDefault="004771E9" w:rsidP="004A65D8">
    <w:pPr>
      <w:pStyle w:val="Footer"/>
      <w:jc w:val="both"/>
      <w:rPr>
        <w:rFonts w:ascii="Calibri" w:hAnsi="Calibri" w:cs="Calibri"/>
        <w:sz w:val="16"/>
        <w:szCs w:val="16"/>
      </w:rPr>
    </w:pPr>
    <w:r w:rsidRPr="001A1BFC">
      <w:rPr>
        <w:rFonts w:ascii="Calibri" w:hAnsi="Calibri" w:cs="Calibri"/>
        <w:i/>
        <w:iCs/>
        <w:sz w:val="16"/>
        <w:szCs w:val="16"/>
      </w:rPr>
      <w:t xml:space="preserve">Disclaimer: </w:t>
    </w:r>
    <w:r w:rsidRPr="00E51EF2">
      <w:rPr>
        <w:rFonts w:ascii="Calibri" w:hAnsi="Calibri" w:cs="Calibri"/>
        <w:sz w:val="16"/>
        <w:szCs w:val="16"/>
      </w:rPr>
      <w:t>This</w:t>
    </w:r>
    <w:r>
      <w:rPr>
        <w:rFonts w:ascii="Calibri" w:hAnsi="Calibri" w:cs="Calibri"/>
        <w:sz w:val="16"/>
        <w:szCs w:val="16"/>
      </w:rPr>
      <w:t xml:space="preserve"> template</w:t>
    </w:r>
    <w:r w:rsidRPr="00E51EF2">
      <w:rPr>
        <w:rFonts w:ascii="Calibri" w:hAnsi="Calibri" w:cs="Calibri"/>
        <w:sz w:val="16"/>
        <w:szCs w:val="16"/>
      </w:rPr>
      <w:t xml:space="preserv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A1FB" w14:textId="77777777" w:rsidR="001811A6" w:rsidRDefault="001811A6" w:rsidP="00DF495D">
      <w:pPr>
        <w:spacing w:after="0" w:line="240" w:lineRule="auto"/>
      </w:pPr>
      <w:r>
        <w:separator/>
      </w:r>
    </w:p>
  </w:footnote>
  <w:footnote w:type="continuationSeparator" w:id="0">
    <w:p w14:paraId="3939E39D" w14:textId="77777777" w:rsidR="001811A6" w:rsidRDefault="001811A6" w:rsidP="00DF4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3592" w14:textId="7547A10C" w:rsidR="00DF495D" w:rsidRPr="002C6EE7" w:rsidRDefault="00DF495D">
    <w:pPr>
      <w:pStyle w:val="Header"/>
      <w:rPr>
        <w:rFonts w:asciiTheme="majorHAnsi" w:hAnsiTheme="majorHAnsi" w:cstheme="majorHAnsi"/>
        <w:i/>
        <w:iCs/>
        <w:sz w:val="20"/>
        <w:szCs w:val="20"/>
      </w:rPr>
    </w:pPr>
    <w:r w:rsidRPr="00172843">
      <w:rPr>
        <w:noProof/>
      </w:rPr>
      <w:drawing>
        <wp:anchor distT="0" distB="0" distL="114300" distR="114300" simplePos="0" relativeHeight="251658241" behindDoc="0" locked="0" layoutInCell="1" allowOverlap="1" wp14:anchorId="6AD5E93E" wp14:editId="7A7EF0C0">
          <wp:simplePos x="0" y="0"/>
          <wp:positionH relativeFrom="column">
            <wp:posOffset>1245870</wp:posOffset>
          </wp:positionH>
          <wp:positionV relativeFrom="paragraph">
            <wp:posOffset>11430</wp:posOffset>
          </wp:positionV>
          <wp:extent cx="1360170" cy="283845"/>
          <wp:effectExtent l="0" t="0" r="0" b="1905"/>
          <wp:wrapSquare wrapText="bothSides"/>
          <wp:docPr id="5"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120440">
      <w:rPr>
        <w:rFonts w:ascii="Source Sans 3 Black"/>
        <w:b/>
        <w:noProof/>
        <w:color w:val="3170B6"/>
        <w:spacing w:val="-2"/>
        <w:sz w:val="56"/>
      </w:rPr>
      <w:drawing>
        <wp:anchor distT="0" distB="0" distL="114300" distR="114300" simplePos="0" relativeHeight="251658240" behindDoc="1" locked="0" layoutInCell="1" allowOverlap="1" wp14:anchorId="0CC808DB" wp14:editId="5604D731">
          <wp:simplePos x="0" y="0"/>
          <wp:positionH relativeFrom="column">
            <wp:posOffset>0</wp:posOffset>
          </wp:positionH>
          <wp:positionV relativeFrom="paragraph">
            <wp:posOffset>-81099</wp:posOffset>
          </wp:positionV>
          <wp:extent cx="1104900" cy="424180"/>
          <wp:effectExtent l="0" t="0" r="0" b="0"/>
          <wp:wrapTight wrapText="bothSides">
            <wp:wrapPolygon edited="0">
              <wp:start x="0" y="0"/>
              <wp:lineTo x="0" y="20371"/>
              <wp:lineTo x="21228" y="20371"/>
              <wp:lineTo x="21228" y="0"/>
              <wp:lineTo x="0" y="0"/>
            </wp:wrapPolygon>
          </wp:wrapTight>
          <wp:docPr id="1431340443"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E37234">
      <w:tab/>
      <w:t xml:space="preserve"> </w:t>
    </w:r>
    <w:r w:rsidR="002C6EE7">
      <w:t xml:space="preserve">                                   </w:t>
    </w:r>
    <w:r w:rsidR="00E37234" w:rsidRPr="002C6EE7">
      <w:rPr>
        <w:rFonts w:asciiTheme="majorHAnsi" w:hAnsiTheme="majorHAnsi" w:cstheme="majorHAnsi"/>
        <w:i/>
        <w:iCs/>
        <w:color w:val="C00000"/>
        <w:sz w:val="20"/>
        <w:szCs w:val="20"/>
      </w:rPr>
      <w:t>Updated as of October 16, 2025</w:t>
    </w:r>
    <w:r w:rsidR="00BA20EE" w:rsidRPr="002C6EE7">
      <w:rPr>
        <w:rFonts w:asciiTheme="majorHAnsi" w:hAnsiTheme="majorHAnsi" w:cstheme="majorHAnsi"/>
        <w:i/>
        <w:iCs/>
        <w:sz w:val="20"/>
        <w:szCs w:val="20"/>
      </w:rPr>
      <w:tab/>
    </w:r>
    <w:r w:rsidR="00BA20EE" w:rsidRPr="002C6EE7">
      <w:rPr>
        <w:rFonts w:asciiTheme="majorHAnsi" w:hAnsiTheme="majorHAnsi" w:cstheme="majorHAnsi"/>
        <w:i/>
        <w:iCs/>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5160A4"/>
    <w:multiLevelType w:val="hybridMultilevel"/>
    <w:tmpl w:val="82CA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63A06"/>
    <w:multiLevelType w:val="hybridMultilevel"/>
    <w:tmpl w:val="6BFAD3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B46E3"/>
    <w:multiLevelType w:val="hybridMultilevel"/>
    <w:tmpl w:val="10B20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B0DE4"/>
    <w:multiLevelType w:val="hybridMultilevel"/>
    <w:tmpl w:val="43BA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C3354"/>
    <w:multiLevelType w:val="hybridMultilevel"/>
    <w:tmpl w:val="DBC24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93738"/>
    <w:multiLevelType w:val="hybridMultilevel"/>
    <w:tmpl w:val="3ECEE9FA"/>
    <w:lvl w:ilvl="0" w:tplc="391C3E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52B96"/>
    <w:multiLevelType w:val="hybridMultilevel"/>
    <w:tmpl w:val="AD6A4DCA"/>
    <w:lvl w:ilvl="0" w:tplc="391C3E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8E08D9"/>
    <w:multiLevelType w:val="hybridMultilevel"/>
    <w:tmpl w:val="38BCE3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75F534A"/>
    <w:multiLevelType w:val="hybridMultilevel"/>
    <w:tmpl w:val="19DA0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303069">
    <w:abstractNumId w:val="8"/>
  </w:num>
  <w:num w:numId="2" w16cid:durableId="1466511877">
    <w:abstractNumId w:val="6"/>
  </w:num>
  <w:num w:numId="3" w16cid:durableId="1562523754">
    <w:abstractNumId w:val="5"/>
  </w:num>
  <w:num w:numId="4" w16cid:durableId="1746949765">
    <w:abstractNumId w:val="4"/>
  </w:num>
  <w:num w:numId="5" w16cid:durableId="370808469">
    <w:abstractNumId w:val="7"/>
  </w:num>
  <w:num w:numId="6" w16cid:durableId="2024891962">
    <w:abstractNumId w:val="3"/>
  </w:num>
  <w:num w:numId="7" w16cid:durableId="1235816085">
    <w:abstractNumId w:val="2"/>
  </w:num>
  <w:num w:numId="8" w16cid:durableId="209734961">
    <w:abstractNumId w:val="1"/>
  </w:num>
  <w:num w:numId="9" w16cid:durableId="685013632">
    <w:abstractNumId w:val="0"/>
  </w:num>
  <w:num w:numId="10" w16cid:durableId="543758217">
    <w:abstractNumId w:val="11"/>
  </w:num>
  <w:num w:numId="11" w16cid:durableId="246618997">
    <w:abstractNumId w:val="9"/>
  </w:num>
  <w:num w:numId="12" w16cid:durableId="637145814">
    <w:abstractNumId w:val="12"/>
  </w:num>
  <w:num w:numId="13" w16cid:durableId="715785652">
    <w:abstractNumId w:val="17"/>
  </w:num>
  <w:num w:numId="14" w16cid:durableId="1566917330">
    <w:abstractNumId w:val="13"/>
  </w:num>
  <w:num w:numId="15" w16cid:durableId="179666533">
    <w:abstractNumId w:val="14"/>
  </w:num>
  <w:num w:numId="16" w16cid:durableId="1085422808">
    <w:abstractNumId w:val="15"/>
  </w:num>
  <w:num w:numId="17" w16cid:durableId="465393163">
    <w:abstractNumId w:val="10"/>
  </w:num>
  <w:num w:numId="18" w16cid:durableId="60242483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9B5"/>
    <w:rsid w:val="00034616"/>
    <w:rsid w:val="000522AE"/>
    <w:rsid w:val="000560D6"/>
    <w:rsid w:val="0006063C"/>
    <w:rsid w:val="000D72C7"/>
    <w:rsid w:val="000E0FEC"/>
    <w:rsid w:val="000E17FF"/>
    <w:rsid w:val="000E2E7E"/>
    <w:rsid w:val="000F0184"/>
    <w:rsid w:val="0010686F"/>
    <w:rsid w:val="00110A11"/>
    <w:rsid w:val="00121550"/>
    <w:rsid w:val="00124F24"/>
    <w:rsid w:val="00131466"/>
    <w:rsid w:val="00136E49"/>
    <w:rsid w:val="0015074B"/>
    <w:rsid w:val="001511E9"/>
    <w:rsid w:val="001522C5"/>
    <w:rsid w:val="00157A23"/>
    <w:rsid w:val="00167317"/>
    <w:rsid w:val="001811A6"/>
    <w:rsid w:val="001B1932"/>
    <w:rsid w:val="001C56DA"/>
    <w:rsid w:val="001C687A"/>
    <w:rsid w:val="001D5052"/>
    <w:rsid w:val="001D5918"/>
    <w:rsid w:val="001D5DCF"/>
    <w:rsid w:val="001D62BA"/>
    <w:rsid w:val="001D7FA4"/>
    <w:rsid w:val="001E1E88"/>
    <w:rsid w:val="001F08F8"/>
    <w:rsid w:val="001F4BBF"/>
    <w:rsid w:val="001F6E10"/>
    <w:rsid w:val="00223E5E"/>
    <w:rsid w:val="00234CA3"/>
    <w:rsid w:val="002406AA"/>
    <w:rsid w:val="002517D7"/>
    <w:rsid w:val="00253F78"/>
    <w:rsid w:val="00265AA6"/>
    <w:rsid w:val="00293138"/>
    <w:rsid w:val="0029639D"/>
    <w:rsid w:val="002C6EE7"/>
    <w:rsid w:val="002D2D09"/>
    <w:rsid w:val="002D5A44"/>
    <w:rsid w:val="002F1074"/>
    <w:rsid w:val="002F58AC"/>
    <w:rsid w:val="00307F4E"/>
    <w:rsid w:val="00326F90"/>
    <w:rsid w:val="00336F9D"/>
    <w:rsid w:val="00337CE8"/>
    <w:rsid w:val="00342168"/>
    <w:rsid w:val="00347BB2"/>
    <w:rsid w:val="00352939"/>
    <w:rsid w:val="00356F33"/>
    <w:rsid w:val="00386392"/>
    <w:rsid w:val="003A278B"/>
    <w:rsid w:val="003A7653"/>
    <w:rsid w:val="003B6B87"/>
    <w:rsid w:val="003C09D2"/>
    <w:rsid w:val="003D1EAA"/>
    <w:rsid w:val="003E102F"/>
    <w:rsid w:val="003E32FF"/>
    <w:rsid w:val="003E3A1D"/>
    <w:rsid w:val="003E52A9"/>
    <w:rsid w:val="003F38B9"/>
    <w:rsid w:val="00400233"/>
    <w:rsid w:val="00402DEE"/>
    <w:rsid w:val="004179E4"/>
    <w:rsid w:val="00441A57"/>
    <w:rsid w:val="00461713"/>
    <w:rsid w:val="00467046"/>
    <w:rsid w:val="004752EB"/>
    <w:rsid w:val="004771E9"/>
    <w:rsid w:val="00483195"/>
    <w:rsid w:val="0049404D"/>
    <w:rsid w:val="004A1F4E"/>
    <w:rsid w:val="004A404B"/>
    <w:rsid w:val="004A65D8"/>
    <w:rsid w:val="004A66D0"/>
    <w:rsid w:val="004B19E7"/>
    <w:rsid w:val="004D32E3"/>
    <w:rsid w:val="004D67BB"/>
    <w:rsid w:val="00504B1B"/>
    <w:rsid w:val="00527000"/>
    <w:rsid w:val="00530832"/>
    <w:rsid w:val="005359A0"/>
    <w:rsid w:val="00540D58"/>
    <w:rsid w:val="00573F96"/>
    <w:rsid w:val="00592209"/>
    <w:rsid w:val="00592461"/>
    <w:rsid w:val="00595911"/>
    <w:rsid w:val="00596492"/>
    <w:rsid w:val="005966F7"/>
    <w:rsid w:val="005A2BE0"/>
    <w:rsid w:val="005B0FD8"/>
    <w:rsid w:val="005C3AC1"/>
    <w:rsid w:val="005D0534"/>
    <w:rsid w:val="005E56DC"/>
    <w:rsid w:val="005F273A"/>
    <w:rsid w:val="005F473E"/>
    <w:rsid w:val="005F646B"/>
    <w:rsid w:val="00664CC8"/>
    <w:rsid w:val="006752E1"/>
    <w:rsid w:val="00691EBB"/>
    <w:rsid w:val="00692A7F"/>
    <w:rsid w:val="006B2B9D"/>
    <w:rsid w:val="006B4C40"/>
    <w:rsid w:val="006D0D57"/>
    <w:rsid w:val="006D216F"/>
    <w:rsid w:val="006E76D5"/>
    <w:rsid w:val="006F36BA"/>
    <w:rsid w:val="0070017F"/>
    <w:rsid w:val="0070783E"/>
    <w:rsid w:val="00711333"/>
    <w:rsid w:val="0073142F"/>
    <w:rsid w:val="007550D0"/>
    <w:rsid w:val="00763737"/>
    <w:rsid w:val="00767488"/>
    <w:rsid w:val="007908AF"/>
    <w:rsid w:val="0079306B"/>
    <w:rsid w:val="007D49E3"/>
    <w:rsid w:val="007E7FE2"/>
    <w:rsid w:val="007F26FE"/>
    <w:rsid w:val="008128D0"/>
    <w:rsid w:val="00820E40"/>
    <w:rsid w:val="00834474"/>
    <w:rsid w:val="008350B3"/>
    <w:rsid w:val="00852B5F"/>
    <w:rsid w:val="00860297"/>
    <w:rsid w:val="008715A3"/>
    <w:rsid w:val="008762B0"/>
    <w:rsid w:val="00882E90"/>
    <w:rsid w:val="008C0A42"/>
    <w:rsid w:val="008C0B16"/>
    <w:rsid w:val="008C6C8E"/>
    <w:rsid w:val="008D4D40"/>
    <w:rsid w:val="008E3061"/>
    <w:rsid w:val="00900B22"/>
    <w:rsid w:val="00932120"/>
    <w:rsid w:val="009831C2"/>
    <w:rsid w:val="00983809"/>
    <w:rsid w:val="009856E3"/>
    <w:rsid w:val="00991A30"/>
    <w:rsid w:val="00991D0C"/>
    <w:rsid w:val="009921D9"/>
    <w:rsid w:val="00995711"/>
    <w:rsid w:val="009A2E4E"/>
    <w:rsid w:val="009C176B"/>
    <w:rsid w:val="009C1F63"/>
    <w:rsid w:val="009E296F"/>
    <w:rsid w:val="009E7D84"/>
    <w:rsid w:val="009F2BBD"/>
    <w:rsid w:val="00A10677"/>
    <w:rsid w:val="00A138F3"/>
    <w:rsid w:val="00A26E2B"/>
    <w:rsid w:val="00A337A2"/>
    <w:rsid w:val="00A4081F"/>
    <w:rsid w:val="00A442DA"/>
    <w:rsid w:val="00A447B2"/>
    <w:rsid w:val="00A46638"/>
    <w:rsid w:val="00A474CB"/>
    <w:rsid w:val="00A65620"/>
    <w:rsid w:val="00A65C19"/>
    <w:rsid w:val="00A71535"/>
    <w:rsid w:val="00A738C6"/>
    <w:rsid w:val="00A9333D"/>
    <w:rsid w:val="00AA1D8D"/>
    <w:rsid w:val="00AD504D"/>
    <w:rsid w:val="00AF6B7A"/>
    <w:rsid w:val="00B059DA"/>
    <w:rsid w:val="00B27576"/>
    <w:rsid w:val="00B41071"/>
    <w:rsid w:val="00B43352"/>
    <w:rsid w:val="00B47730"/>
    <w:rsid w:val="00B60B1B"/>
    <w:rsid w:val="00B62990"/>
    <w:rsid w:val="00B63A41"/>
    <w:rsid w:val="00BA20EE"/>
    <w:rsid w:val="00BD4452"/>
    <w:rsid w:val="00BD73A2"/>
    <w:rsid w:val="00BE2F05"/>
    <w:rsid w:val="00BF3675"/>
    <w:rsid w:val="00C01B38"/>
    <w:rsid w:val="00C021CD"/>
    <w:rsid w:val="00C03E0D"/>
    <w:rsid w:val="00C03E40"/>
    <w:rsid w:val="00C07133"/>
    <w:rsid w:val="00C22803"/>
    <w:rsid w:val="00C33D1E"/>
    <w:rsid w:val="00C400A9"/>
    <w:rsid w:val="00C436E8"/>
    <w:rsid w:val="00C52376"/>
    <w:rsid w:val="00C56B07"/>
    <w:rsid w:val="00C70533"/>
    <w:rsid w:val="00CA3681"/>
    <w:rsid w:val="00CA41BA"/>
    <w:rsid w:val="00CB0664"/>
    <w:rsid w:val="00CB2B97"/>
    <w:rsid w:val="00CE47E0"/>
    <w:rsid w:val="00D24E38"/>
    <w:rsid w:val="00D25D72"/>
    <w:rsid w:val="00D429E1"/>
    <w:rsid w:val="00D478BD"/>
    <w:rsid w:val="00D53782"/>
    <w:rsid w:val="00D61213"/>
    <w:rsid w:val="00D61AB5"/>
    <w:rsid w:val="00D61D5D"/>
    <w:rsid w:val="00D7040A"/>
    <w:rsid w:val="00D840CB"/>
    <w:rsid w:val="00DA604E"/>
    <w:rsid w:val="00DB1072"/>
    <w:rsid w:val="00DB2986"/>
    <w:rsid w:val="00DD7D00"/>
    <w:rsid w:val="00DF0500"/>
    <w:rsid w:val="00DF4482"/>
    <w:rsid w:val="00DF495D"/>
    <w:rsid w:val="00DF608E"/>
    <w:rsid w:val="00E06E82"/>
    <w:rsid w:val="00E12986"/>
    <w:rsid w:val="00E30E47"/>
    <w:rsid w:val="00E3275B"/>
    <w:rsid w:val="00E342A7"/>
    <w:rsid w:val="00E35073"/>
    <w:rsid w:val="00E37234"/>
    <w:rsid w:val="00E4236F"/>
    <w:rsid w:val="00E63D80"/>
    <w:rsid w:val="00E66772"/>
    <w:rsid w:val="00E74558"/>
    <w:rsid w:val="00E862E9"/>
    <w:rsid w:val="00EA6979"/>
    <w:rsid w:val="00EB3F89"/>
    <w:rsid w:val="00EC049F"/>
    <w:rsid w:val="00EC20C7"/>
    <w:rsid w:val="00ED0164"/>
    <w:rsid w:val="00ED266D"/>
    <w:rsid w:val="00F10AA3"/>
    <w:rsid w:val="00F223B0"/>
    <w:rsid w:val="00F54F10"/>
    <w:rsid w:val="00F57785"/>
    <w:rsid w:val="00F606A1"/>
    <w:rsid w:val="00F67EA8"/>
    <w:rsid w:val="00F713EE"/>
    <w:rsid w:val="00F72DC8"/>
    <w:rsid w:val="00F84375"/>
    <w:rsid w:val="00F86C49"/>
    <w:rsid w:val="00F97B3A"/>
    <w:rsid w:val="00FA0774"/>
    <w:rsid w:val="00FC693F"/>
    <w:rsid w:val="00FE0D0D"/>
    <w:rsid w:val="00FE1AAB"/>
    <w:rsid w:val="00FF242C"/>
    <w:rsid w:val="2FF55640"/>
    <w:rsid w:val="432B5B0D"/>
    <w:rsid w:val="71FF366A"/>
    <w:rsid w:val="7E6CBD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29F490"/>
  <w14:defaultImageDpi w14:val="330"/>
  <w15:docId w15:val="{1437A4D0-9FDB-4CCA-BD6B-1B79C7D5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342168"/>
    <w:rPr>
      <w:sz w:val="16"/>
      <w:szCs w:val="16"/>
    </w:rPr>
  </w:style>
  <w:style w:type="paragraph" w:styleId="CommentText">
    <w:name w:val="annotation text"/>
    <w:basedOn w:val="Normal"/>
    <w:link w:val="CommentTextChar"/>
    <w:uiPriority w:val="99"/>
    <w:unhideWhenUsed/>
    <w:rsid w:val="00342168"/>
    <w:pPr>
      <w:spacing w:line="240" w:lineRule="auto"/>
    </w:pPr>
    <w:rPr>
      <w:sz w:val="20"/>
      <w:szCs w:val="20"/>
    </w:rPr>
  </w:style>
  <w:style w:type="character" w:customStyle="1" w:styleId="CommentTextChar">
    <w:name w:val="Comment Text Char"/>
    <w:basedOn w:val="DefaultParagraphFont"/>
    <w:link w:val="CommentText"/>
    <w:uiPriority w:val="99"/>
    <w:rsid w:val="00342168"/>
    <w:rPr>
      <w:sz w:val="20"/>
      <w:szCs w:val="20"/>
    </w:rPr>
  </w:style>
  <w:style w:type="paragraph" w:styleId="CommentSubject">
    <w:name w:val="annotation subject"/>
    <w:basedOn w:val="CommentText"/>
    <w:next w:val="CommentText"/>
    <w:link w:val="CommentSubjectChar"/>
    <w:uiPriority w:val="99"/>
    <w:semiHidden/>
    <w:unhideWhenUsed/>
    <w:rsid w:val="00342168"/>
    <w:rPr>
      <w:b/>
      <w:bCs/>
    </w:rPr>
  </w:style>
  <w:style w:type="character" w:customStyle="1" w:styleId="CommentSubjectChar">
    <w:name w:val="Comment Subject Char"/>
    <w:basedOn w:val="CommentTextChar"/>
    <w:link w:val="CommentSubject"/>
    <w:uiPriority w:val="99"/>
    <w:semiHidden/>
    <w:rsid w:val="00342168"/>
    <w:rPr>
      <w:b/>
      <w:bCs/>
      <w:sz w:val="20"/>
      <w:szCs w:val="20"/>
    </w:rPr>
  </w:style>
  <w:style w:type="character" w:styleId="Hyperlink">
    <w:name w:val="Hyperlink"/>
    <w:basedOn w:val="DefaultParagraphFont"/>
    <w:uiPriority w:val="99"/>
    <w:unhideWhenUsed/>
    <w:rsid w:val="00342168"/>
    <w:rPr>
      <w:color w:val="0000FF" w:themeColor="hyperlink"/>
      <w:u w:val="single"/>
    </w:rPr>
  </w:style>
  <w:style w:type="character" w:styleId="UnresolvedMention">
    <w:name w:val="Unresolved Mention"/>
    <w:basedOn w:val="DefaultParagraphFont"/>
    <w:uiPriority w:val="99"/>
    <w:semiHidden/>
    <w:unhideWhenUsed/>
    <w:rsid w:val="00342168"/>
    <w:rPr>
      <w:color w:val="605E5C"/>
      <w:shd w:val="clear" w:color="auto" w:fill="E1DFDD"/>
    </w:rPr>
  </w:style>
  <w:style w:type="paragraph" w:styleId="Revision">
    <w:name w:val="Revision"/>
    <w:hidden/>
    <w:uiPriority w:val="99"/>
    <w:semiHidden/>
    <w:rsid w:val="00AF6B7A"/>
    <w:pPr>
      <w:spacing w:after="0" w:line="240" w:lineRule="auto"/>
    </w:pPr>
  </w:style>
  <w:style w:type="character" w:styleId="Mention">
    <w:name w:val="Mention"/>
    <w:basedOn w:val="DefaultParagraphFont"/>
    <w:uiPriority w:val="99"/>
    <w:unhideWhenUsed/>
    <w:rsid w:val="009E29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f49aa5fd247e970a5f469df817cce8a">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cf12662f656805660921dd53d1268f4"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24A83-735B-46DB-978C-D3535BB01F89}">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customXml/itemProps2.xml><?xml version="1.0" encoding="utf-8"?>
<ds:datastoreItem xmlns:ds="http://schemas.openxmlformats.org/officeDocument/2006/customXml" ds:itemID="{B9E5DD05-6865-4A8A-82AD-9E7F6FC31DE4}">
  <ds:schemaRefs>
    <ds:schemaRef ds:uri="http://schemas.microsoft.com/sharepoint/v3/contenttype/forms"/>
  </ds:schemaRefs>
</ds:datastoreItem>
</file>

<file path=customXml/itemProps3.xml><?xml version="1.0" encoding="utf-8"?>
<ds:datastoreItem xmlns:ds="http://schemas.openxmlformats.org/officeDocument/2006/customXml" ds:itemID="{8BDE9ADA-EA7A-4DA1-81F6-B009707A9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1861</Characters>
  <Application>Microsoft Office Word</Application>
  <DocSecurity>0</DocSecurity>
  <Lines>35</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2203</CharactersWithSpaces>
  <SharedDoc>false</SharedDoc>
  <HyperlinkBase/>
  <HLinks>
    <vt:vector size="18" baseType="variant">
      <vt:variant>
        <vt:i4>6946873</vt:i4>
      </vt:variant>
      <vt:variant>
        <vt:i4>6</vt:i4>
      </vt:variant>
      <vt:variant>
        <vt:i4>0</vt:i4>
      </vt:variant>
      <vt:variant>
        <vt:i4>5</vt:i4>
      </vt:variant>
      <vt:variant>
        <vt:lpwstr>https://otda.ny.gov/policy/gis/2025/25DC061.pdf</vt:lpwstr>
      </vt:variant>
      <vt:variant>
        <vt:lpwstr/>
      </vt:variant>
      <vt:variant>
        <vt:i4>1310778</vt:i4>
      </vt:variant>
      <vt:variant>
        <vt:i4>3</vt:i4>
      </vt:variant>
      <vt:variant>
        <vt:i4>0</vt:i4>
      </vt:variant>
      <vt:variant>
        <vt:i4>5</vt:i4>
      </vt:variant>
      <vt:variant>
        <vt:lpwstr>mailto:afogel@socialfinance.org</vt:lpwstr>
      </vt:variant>
      <vt:variant>
        <vt:lpwstr/>
      </vt:variant>
      <vt:variant>
        <vt:i4>3014753</vt:i4>
      </vt:variant>
      <vt:variant>
        <vt:i4>0</vt:i4>
      </vt:variant>
      <vt:variant>
        <vt:i4>0</vt:i4>
      </vt:variant>
      <vt:variant>
        <vt:i4>5</vt:i4>
      </vt:variant>
      <vt:variant>
        <vt:lpwstr>https://www.fns.usda.gov/snap/admin/energy-assistance-payments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Larkin</dc:creator>
  <cp:keywords/>
  <dc:description>generated by python-docx</dc:description>
  <cp:lastModifiedBy>Alex Clermont</cp:lastModifiedBy>
  <cp:revision>2</cp:revision>
  <dcterms:created xsi:type="dcterms:W3CDTF">2025-11-24T19:21:00Z</dcterms:created>
  <dcterms:modified xsi:type="dcterms:W3CDTF">2025-11-24T19:21:00Z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